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BD1D55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BD1D55" w:rsidRDefault="00E20384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 xml:space="preserve">اسم </w:t>
            </w:r>
            <w:r w:rsidR="00BA479B" w:rsidRPr="00BD1D55">
              <w:rPr>
                <w:rFonts w:ascii="Amiri" w:hAnsi="Amiri" w:cs="Amiri"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33770FD6" w:rsidR="00BB0DC2" w:rsidRPr="00BD1D55" w:rsidRDefault="00C85885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>ال</w:t>
            </w:r>
            <w:r w:rsidR="008A200D" w:rsidRPr="00BD1D55">
              <w:rPr>
                <w:rFonts w:ascii="Amiri" w:hAnsi="Amiri" w:cs="Amiri"/>
                <w:sz w:val="30"/>
                <w:szCs w:val="30"/>
                <w:rtl/>
              </w:rPr>
              <w:t>نحو</w:t>
            </w:r>
            <w:r w:rsidRPr="00BD1D55">
              <w:rPr>
                <w:rFonts w:ascii="Amiri" w:hAnsi="Amiri" w:cs="Amiri"/>
                <w:sz w:val="30"/>
                <w:szCs w:val="30"/>
                <w:rtl/>
              </w:rPr>
              <w:t xml:space="preserve"> (</w:t>
            </w:r>
            <w:r w:rsidR="0029083A" w:rsidRPr="00BD1D55">
              <w:rPr>
                <w:rFonts w:ascii="Amiri" w:hAnsi="Amiri" w:cs="Amiri"/>
                <w:sz w:val="30"/>
                <w:szCs w:val="30"/>
                <w:rtl/>
              </w:rPr>
              <w:t>4</w:t>
            </w:r>
            <w:r w:rsidRPr="00BD1D55">
              <w:rPr>
                <w:rFonts w:ascii="Amiri" w:hAnsi="Amiri" w:cs="Amiri"/>
                <w:sz w:val="30"/>
                <w:szCs w:val="30"/>
                <w:rtl/>
              </w:rPr>
              <w:t>)</w:t>
            </w:r>
          </w:p>
        </w:tc>
      </w:tr>
      <w:tr w:rsidR="0027521F" w:rsidRPr="00BD1D55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BD1D55" w:rsidRDefault="000819F2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 xml:space="preserve">رمز </w:t>
            </w:r>
            <w:r w:rsidR="00BA479B" w:rsidRPr="00BD1D55">
              <w:rPr>
                <w:rFonts w:ascii="Amiri" w:hAnsi="Amiri" w:cs="Amiri"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6E3ED5EC" w:rsidR="0027521F" w:rsidRPr="00BD1D55" w:rsidRDefault="00344703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>
              <w:rPr>
                <w:rFonts w:ascii="Amiri" w:hAnsi="Amiri" w:cs="Amiri" w:hint="cs"/>
                <w:sz w:val="30"/>
                <w:szCs w:val="30"/>
                <w:rtl/>
              </w:rPr>
              <w:t>3</w:t>
            </w:r>
            <w:bookmarkStart w:id="0" w:name="_GoBack"/>
            <w:bookmarkEnd w:id="0"/>
            <w:r w:rsidR="008A200D" w:rsidRPr="00BD1D55">
              <w:rPr>
                <w:rFonts w:ascii="Amiri" w:hAnsi="Amiri" w:cs="Amiri"/>
                <w:sz w:val="30"/>
                <w:szCs w:val="30"/>
                <w:rtl/>
              </w:rPr>
              <w:t>4</w:t>
            </w:r>
            <w:r w:rsidR="0029083A" w:rsidRPr="00BD1D55">
              <w:rPr>
                <w:rFonts w:ascii="Amiri" w:hAnsi="Amiri" w:cs="Amiri"/>
                <w:sz w:val="30"/>
                <w:szCs w:val="30"/>
                <w:rtl/>
              </w:rPr>
              <w:t>4</w:t>
            </w:r>
            <w:r w:rsidR="00C85885" w:rsidRPr="00BD1D55">
              <w:rPr>
                <w:rFonts w:ascii="Amiri" w:hAnsi="Amiri" w:cs="Amiri"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BD1D55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BD1D55" w:rsidRDefault="00BA479B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  <w:rtl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BD1D55" w:rsidRDefault="005719F1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BD1D55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BD1D55" w:rsidRDefault="000819F2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  <w:rtl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 xml:space="preserve">القسم </w:t>
            </w:r>
            <w:r w:rsidR="00BA479B" w:rsidRPr="00BD1D55">
              <w:rPr>
                <w:rFonts w:ascii="Amiri" w:hAnsi="Amiri" w:cs="Amiri"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BD1D55" w:rsidRDefault="005719F1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DA5A4C" w:rsidRPr="00BD1D55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BD1D55" w:rsidRDefault="00DA5A4C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  <w:rtl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BD1D55" w:rsidRDefault="000A2976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>الآداب</w:t>
            </w:r>
          </w:p>
        </w:tc>
      </w:tr>
      <w:tr w:rsidR="0027521F" w:rsidRPr="00BD1D55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BD1D55" w:rsidRDefault="000819F2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BD1D55" w:rsidRDefault="005719F1" w:rsidP="00BD1D55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BD1D55">
              <w:rPr>
                <w:rFonts w:ascii="Amiri" w:hAnsi="Amiri" w:cs="Amiri"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A9497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A9497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A9497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A9497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A9497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A9497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A9497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A9497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A9497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A9497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A9497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A9497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A9497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A9497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1" w:name="_Toc526247378"/>
      <w:bookmarkStart w:id="2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1"/>
      <w:bookmarkEnd w:id="2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3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22FB58D" w:rsidR="00807FAF" w:rsidRPr="003302F2" w:rsidRDefault="008F5DE5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ثلاث </w:t>
            </w:r>
            <w:r w:rsidR="005719F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</w:t>
            </w:r>
            <w:r w:rsidR="00CF632A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3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4" w:name="_Toc526247385"/>
      <w:bookmarkStart w:id="5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4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8CC19F6" w:rsidR="00D47214" w:rsidRPr="005D2DDD" w:rsidRDefault="00CF632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2EE9990" w:rsidR="00026BDF" w:rsidRPr="000274EF" w:rsidRDefault="00CF632A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2E216418" w:rsidR="00026BDF" w:rsidRPr="000274EF" w:rsidRDefault="00CF632A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45</w:t>
            </w:r>
            <w:r w:rsidR="000A2976">
              <w:rPr>
                <w:rFonts w:asciiTheme="majorBidi" w:hAnsiTheme="majorBidi" w:cstheme="majorBidi" w:hint="cs"/>
                <w:rtl/>
                <w:lang w:bidi="ar-EG"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6" w:name="_Toc526247379"/>
      <w:bookmarkStart w:id="7" w:name="_Toc337785"/>
      <w:bookmarkEnd w:id="5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8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8"/>
          </w:p>
          <w:p w14:paraId="72D97E3A" w14:textId="4FAE1328" w:rsidR="00673AFD" w:rsidRPr="00192987" w:rsidRDefault="0029083A" w:rsidP="0029083A">
            <w:pPr>
              <w:bidi/>
              <w:spacing w:line="276" w:lineRule="auto"/>
              <w:jc w:val="both"/>
              <w:rPr>
                <w:rtl/>
              </w:rPr>
            </w:pP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يتناول المقرر الأساليب النحوية التعبيرية المتنوعة: شروطها وأنماطها التركيبية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ووظائفها الدلالية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وصيغها القياسية والسماعية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كما يتناول حروف الجر بأقسامها المختلفة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ودلالاتها المتنوعة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ويشتمل أيضا على باب الإضافة بنوعيها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وأغراضها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وضوابطها التركيبية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وما يلزم الإضافة من الأسماء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ومعايير الفصل بين المضاف والمضاف إليه وحذف أحدهما.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9" w:name="_Toc526247380"/>
            <w:bookmarkStart w:id="10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9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10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6E239" w14:textId="3D3C77BF" w:rsidR="0029083A" w:rsidRPr="0029083A" w:rsidRDefault="0029083A" w:rsidP="0029083A">
            <w:pPr>
              <w:tabs>
                <w:tab w:val="left" w:pos="1048"/>
              </w:tabs>
              <w:bidi/>
              <w:spacing w:line="276" w:lineRule="auto"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9083A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تعليم الدارس لاستعمالات حروف الجر، ودور السياق في التعدد الدلالي لبعض حروف الجر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Pr="0029083A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الدارس مهارة التفريق بين الإضافة اللفظية وغير اللفظية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Pr="0029083A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</w:t>
            </w:r>
            <w:r w:rsidRPr="0029083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بالأساليب النحوية مفصلة على المستويين: التركيبي والدلالي</w:t>
            </w:r>
            <w:r w:rsidRPr="0029083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Pr="0029083A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 w:rsidRPr="0029083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على مهارة تصحيح الأخطاء الشائعة في الأساليب النحوية واستعمالات حروف </w:t>
            </w:r>
            <w:r w:rsidR="00C245AF" w:rsidRPr="0029083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الجر</w:t>
            </w:r>
            <w:r w:rsidR="00C245AF" w:rsidRPr="0029083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="00C245A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="00C245AF" w:rsidRPr="0029083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كيفية إعراب</w:t>
            </w:r>
            <w:r w:rsidRPr="0029083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التراكيب وضبط الكلمات ضبطًا سليمًا</w:t>
            </w:r>
            <w:r w:rsidRPr="0029083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9DC25A5" w14:textId="21AD6F8A" w:rsidR="00807FAF" w:rsidRPr="000E0050" w:rsidRDefault="0029083A" w:rsidP="0029083A">
            <w:pPr>
              <w:tabs>
                <w:tab w:val="left" w:pos="1048"/>
              </w:tabs>
              <w:bidi/>
              <w:spacing w:line="276" w:lineRule="auto"/>
              <w:contextualSpacing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9083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تعليم الدارس مهارة القراءة الصحيحة، والتعبير السليم </w:t>
            </w:r>
            <w:r w:rsidR="00C245AF" w:rsidRPr="0029083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لغويًّا.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1" w:name="_Toc526247382"/>
      <w:bookmarkStart w:id="12" w:name="_Toc337788"/>
      <w:bookmarkStart w:id="13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1"/>
      <w:bookmarkEnd w:id="12"/>
    </w:p>
    <w:tbl>
      <w:tblPr>
        <w:tblStyle w:val="af0"/>
        <w:bidiVisual/>
        <w:tblW w:w="9571" w:type="dxa"/>
        <w:tblInd w:w="-1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5431A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5431A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431A9" w:rsidRPr="005D2DDD" w14:paraId="30EFBBC8" w14:textId="1E8B614E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5431A9" w:rsidRPr="00B4292A" w:rsidRDefault="005431A9" w:rsidP="005431A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4AC70AD2" w:rsidR="005431A9" w:rsidRPr="00B4292A" w:rsidRDefault="005431A9" w:rsidP="005431A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يبين بعض مكملات الجملة والمجرورات فيها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5431A9" w:rsidRPr="00B4292A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431A9" w:rsidRPr="005D2DDD" w14:paraId="3806A3EC" w14:textId="55D3FA0F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5431A9" w:rsidRPr="00B4292A" w:rsidRDefault="005431A9" w:rsidP="005431A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48950C28" w:rsidR="005431A9" w:rsidRPr="00B4292A" w:rsidRDefault="005431A9" w:rsidP="005431A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4C03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شرح</w:t>
            </w:r>
            <w:r w:rsidRPr="004C03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حروف الجر ودلالاتها</w:t>
            </w:r>
            <w:r w:rsidRPr="004C03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5431A9" w:rsidRPr="00B4292A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431A9" w:rsidRPr="005D2DDD" w14:paraId="13D49104" w14:textId="14F816D1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5431A9" w:rsidRPr="00B4292A" w:rsidRDefault="005431A9" w:rsidP="005431A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39A93DE1" w:rsidR="005431A9" w:rsidRPr="00B4292A" w:rsidRDefault="005431A9" w:rsidP="005431A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يصف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الأساليب اللغوية وصيغها وأنماطها ودلالاتها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5431A9" w:rsidRPr="00B4292A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BF07780" w:rsidR="000A2976" w:rsidRPr="00B4292A" w:rsidRDefault="009A4284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159C5B71" w:rsidR="00D236D8" w:rsidRPr="009A4284" w:rsidRDefault="00D236D8" w:rsidP="00544660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5431A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17BA4" w:rsidRPr="005D2DDD" w14:paraId="45236895" w14:textId="1AE5498E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E17BA4" w:rsidRPr="00B4292A" w:rsidRDefault="00E17BA4" w:rsidP="00E17BA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2E71B5B4" w:rsidR="00E17BA4" w:rsidRPr="00FA5B64" w:rsidRDefault="00E17BA4" w:rsidP="00E17BA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037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يحلل </w:t>
            </w:r>
            <w:r w:rsidR="005431A9"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نوعي الإضافة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E17BA4" w:rsidRPr="00B4292A" w:rsidRDefault="00E17BA4" w:rsidP="00E17BA4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17BA4" w:rsidRPr="005D2DDD" w14:paraId="597D1414" w14:textId="60019B8C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E17BA4" w:rsidRPr="00B4292A" w:rsidRDefault="00E17BA4" w:rsidP="00E17BA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70CC7AF8" w:rsidR="00E17BA4" w:rsidRPr="00FA5B64" w:rsidRDefault="00C245AF" w:rsidP="00C245AF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وظف التقنية للبحث عن الوصول</w:t>
            </w:r>
            <w:r w:rsid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  <w:r w:rsid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أنماط </w:t>
            </w:r>
            <w:r w:rsidR="005431A9"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الدلالات المتعددة لحروف </w:t>
            </w:r>
            <w:r w:rsidRPr="005438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E17BA4" w:rsidRPr="00B4292A" w:rsidRDefault="00E17BA4" w:rsidP="00E17BA4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17BA4" w:rsidRPr="005D2DDD" w14:paraId="16085D39" w14:textId="361EE7B6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E17BA4" w:rsidRPr="00B4292A" w:rsidRDefault="00E17BA4" w:rsidP="00E17BA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591409E5" w:rsidR="00E17BA4" w:rsidRPr="00FA5B64" w:rsidRDefault="00E17BA4" w:rsidP="00E17BA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80878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ينقد</w:t>
            </w:r>
            <w:r w:rsidRPr="005F196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431A9" w:rsidRPr="005431A9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الأساليب المختلفة </w:t>
            </w:r>
            <w:r w:rsidR="00C245AF" w:rsidRPr="005431A9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ودلالاتها.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E17BA4" w:rsidRPr="00B4292A" w:rsidRDefault="00E17BA4" w:rsidP="00E17BA4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5431A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431A9" w:rsidRPr="005D2DDD" w14:paraId="4504EDC6" w14:textId="3E38861C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5431A9" w:rsidRPr="00B4292A" w:rsidRDefault="005431A9" w:rsidP="005431A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4A1563F3" w:rsidR="005431A9" w:rsidRPr="005F1961" w:rsidRDefault="005431A9" w:rsidP="005431A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يدير حوارا عن </w:t>
            </w:r>
            <w:r w:rsidRPr="005431A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أوجه الشبه والاختلاف بين النداء والاختصاص</w:t>
            </w:r>
            <w:r w:rsidRPr="005431A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4C037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أمام</w:t>
            </w:r>
            <w:r w:rsidRPr="004C03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زملائه.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5431A9" w:rsidRPr="00B4292A" w:rsidRDefault="005431A9" w:rsidP="005431A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431A9" w:rsidRPr="005D2DDD" w14:paraId="0573E170" w14:textId="0641E32E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5431A9" w:rsidRPr="00B4292A" w:rsidRDefault="005431A9" w:rsidP="005431A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202FA5B5" w:rsidR="005431A9" w:rsidRPr="005F1961" w:rsidRDefault="005431A9" w:rsidP="005431A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التحذير وأنواعه وبيان حكم كل نوع، وإعرابه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5431A9" w:rsidRPr="00B4292A" w:rsidRDefault="005431A9" w:rsidP="005431A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431A9" w:rsidRPr="005D2DDD" w14:paraId="57A7085E" w14:textId="46CF2231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5431A9" w:rsidRPr="00B4292A" w:rsidRDefault="005431A9" w:rsidP="005431A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71FE7BBD" w:rsidR="005431A9" w:rsidRPr="005F1961" w:rsidRDefault="005431A9" w:rsidP="005431A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الطالب </w:t>
            </w:r>
            <w:r w:rsidRPr="005431A9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شروط ما يُصاغ منه أفعل التفضيل.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5431A9" w:rsidRPr="00B4292A" w:rsidRDefault="005431A9" w:rsidP="005431A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5431A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3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5431A9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5431A9" w:rsidRPr="005D2DDD" w14:paraId="7A7D722A" w14:textId="77777777" w:rsidTr="005431A9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4E51EF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-مراجعة عامة على ما شُرح في المقررات السابقة.</w:t>
            </w:r>
          </w:p>
          <w:p w14:paraId="6F5FD334" w14:textId="35AA36FC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التعريف بمفردات المقرر وأهمية دراسته.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21BFDFEA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1ECDCD5F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33773DDA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14AB6985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4FA21B27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5431A9" w:rsidRPr="005D2DDD" w14:paraId="123517E9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008CA9EB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6FE2FEED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حروف </w:t>
            </w: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الجر:</w:t>
            </w: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عددها وأنواعها.</w:t>
            </w:r>
          </w:p>
          <w:p w14:paraId="725ACBA5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مواضع الجر بـ "كي"، و"لعل" و"متى" في بعض اللغات.</w:t>
            </w:r>
          </w:p>
          <w:p w14:paraId="20437B65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ما يجر الظاهر والشروط التركيبية.</w:t>
            </w:r>
          </w:p>
          <w:p w14:paraId="584C671E" w14:textId="57E18E4F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دلالات حروف الجر الأخرى.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1929EF2F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7575697F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2F5F538F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14DA514D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3CEF9E8B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5431A9" w:rsidRPr="005D2DDD" w14:paraId="54E1ECC3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4D36F0D7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078D0DD4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استكمال دلالات حروف الجر.</w:t>
            </w:r>
          </w:p>
          <w:p w14:paraId="49582CB2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استعمالات "مذ" و"منذ".</w:t>
            </w:r>
          </w:p>
          <w:p w14:paraId="56B788B9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ما يزاد بعد حروف الجر.</w:t>
            </w:r>
          </w:p>
          <w:p w14:paraId="5A04F5CD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قضايا حذف حرف الجر.</w:t>
            </w:r>
          </w:p>
          <w:p w14:paraId="345D31FC" w14:textId="0B569616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-الإضافة.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4B47B2E0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2D456FE0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5761EC24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106D94A5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18F88D26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5431A9" w:rsidRPr="005D2DDD" w14:paraId="4729FA1E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6AB36F39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6E3AA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أنواع الإضافة وأغراضها وما يحذف من المضاف.</w:t>
            </w:r>
          </w:p>
          <w:p w14:paraId="57D8C19B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قضية دخول "أل" على </w:t>
            </w: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المضاف.</w:t>
            </w:r>
          </w:p>
          <w:p w14:paraId="318830C6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ما يكتسبه المضاف من المضاف إليه وشروط ذلك.</w:t>
            </w:r>
          </w:p>
          <w:p w14:paraId="4ED2F038" w14:textId="50C3F11F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ما يلزم الإضافة لفظًا ومعنى.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21882D1B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51058D95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4902EC98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63207" w14:textId="6E105053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0A37A6" w14:textId="124BA673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5431A9" w:rsidRPr="005D2DDD" w14:paraId="7179CD0A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E214" w14:textId="30B3BA9A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0ECD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ما يلزم الإضافة معنى دون لفظ.</w:t>
            </w:r>
          </w:p>
          <w:p w14:paraId="136AB3EE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حذف المضاف </w:t>
            </w: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 المضا</w:t>
            </w:r>
            <w:r w:rsidRPr="00543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</w:t>
            </w: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إليه عند وجود القرائن.</w:t>
            </w:r>
          </w:p>
          <w:p w14:paraId="7F8579B0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مواضع الفصل بين المضاف والمضاف إليه.</w:t>
            </w:r>
          </w:p>
          <w:p w14:paraId="41E7D5A8" w14:textId="3E9A5909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المضاف إلى ياء المتكلم.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FC774D" w14:textId="0065F597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1A1A6D02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22312" w14:textId="26CC22A2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84D0A" w14:textId="0E095C54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708139" w14:textId="7B3D53BA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5431A9" w:rsidRPr="005D2DDD" w14:paraId="52741FF8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9318D" w14:textId="7B7F911C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D5C7B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أسلوب التعجب: صيغه السماعية والقياسية.</w:t>
            </w:r>
          </w:p>
          <w:p w14:paraId="66A1A5D6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مصطلحات التعجب، وتحليل صيغتيه.</w:t>
            </w:r>
          </w:p>
          <w:p w14:paraId="6263E3B3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إعراب صيغة (ما أفعل).</w:t>
            </w:r>
          </w:p>
          <w:p w14:paraId="2D232584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إعراب صيغة (أفعل به).</w:t>
            </w:r>
          </w:p>
          <w:p w14:paraId="38630A7A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شروط ما يُصاغ منه أفعل التعجب.</w:t>
            </w:r>
          </w:p>
          <w:p w14:paraId="4A95B5C6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التعجب مما فقد شرطًا من شروط الصياغة.</w:t>
            </w:r>
          </w:p>
          <w:p w14:paraId="6C6B4365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حذف المتعجب منه.</w:t>
            </w:r>
          </w:p>
          <w:p w14:paraId="6A056B0E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تقديم معمول فعل التعجب عليه.</w:t>
            </w:r>
          </w:p>
          <w:p w14:paraId="6CAECBCE" w14:textId="6CE8F18B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الفصل بين (ما) وفعل التعجب.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CD9906" w14:textId="38F50CD2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6C85A38A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F198A" w14:textId="5AEC53A0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363DD" w14:textId="4482E6D1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EB14B2" w14:textId="7AC2117C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431A9" w:rsidRPr="005D2DDD" w14:paraId="13757F45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FE512" w14:textId="71B6B155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11E8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أسلوب المدح والذم.</w:t>
            </w:r>
          </w:p>
          <w:p w14:paraId="5FB8A402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نعم وبئس بين الاسمية والفعلية.</w:t>
            </w:r>
          </w:p>
          <w:p w14:paraId="4978B971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مصطلحات الأسلوب وإعرابه.</w:t>
            </w:r>
          </w:p>
          <w:p w14:paraId="376F004A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-أحوال فاعل (نعم وبئس).</w:t>
            </w:r>
          </w:p>
          <w:p w14:paraId="386AE15D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تقديم المخصوص بالمدح والذم </w:t>
            </w: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على </w:t>
            </w: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(نعم وبئس).</w:t>
            </w:r>
          </w:p>
          <w:p w14:paraId="77547563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الجمع بين التمييز والفاعل الظاهر.</w:t>
            </w:r>
          </w:p>
          <w:p w14:paraId="7E28578A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وقوع (ما) بعد (نعم وبئس) وكيفية الإعراب.</w:t>
            </w:r>
          </w:p>
          <w:p w14:paraId="6CB33DA5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حذف المخصوص بالمدح والذم إن دلّ عليه دليل.</w:t>
            </w:r>
          </w:p>
          <w:p w14:paraId="3350CE2A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استعمال (ساء) بمعنى (بئس).</w:t>
            </w:r>
          </w:p>
          <w:p w14:paraId="7183A33A" w14:textId="3E01F866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أسلوب (حبذا ولا حبذا) وإعرابه وأحكامه.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19D10B" w14:textId="228BF154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55D0EAD6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3CF1A" w14:textId="08BDF149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CC64D" w14:textId="4E844470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D0581B" w14:textId="0225B943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431A9" w:rsidRPr="005D2DDD" w14:paraId="575438A4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76E5E" w14:textId="0167230C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DF3B1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أفعل التفضيل.</w:t>
            </w:r>
          </w:p>
          <w:p w14:paraId="7D7AC868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- مصطلحات الأسلوب.</w:t>
            </w:r>
          </w:p>
          <w:p w14:paraId="6A672854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شروط ما يُصاغ منه أفعل التفضيل.</w:t>
            </w:r>
          </w:p>
          <w:p w14:paraId="128303BF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التوصل إلى التفضيل مما فقد شرطًا من شروط الصياغة.</w:t>
            </w:r>
          </w:p>
          <w:p w14:paraId="4C41E696" w14:textId="47337913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الاختبار الفصلي الأول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37EB8D" w14:textId="77BD1523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3</w:t>
            </w:r>
          </w:p>
        </w:tc>
      </w:tr>
      <w:tr w:rsidR="005431A9" w:rsidRPr="005D2DDD" w14:paraId="14B49752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88BB7" w14:textId="6CB84572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4C4CD" w14:textId="7113CC32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BEA45F" w14:textId="7C40F283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431A9" w:rsidRPr="005D2DDD" w14:paraId="40037D0C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654B6" w14:textId="744D0832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06F1C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أحوال أفعل التفضيل.</w:t>
            </w:r>
          </w:p>
          <w:p w14:paraId="0403307C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أفعل التفضيل المضاف وأحكامه.</w:t>
            </w:r>
          </w:p>
          <w:p w14:paraId="0967B814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أفعل التفضيل المقترن بـ(ال) وأحكامه.</w:t>
            </w:r>
          </w:p>
          <w:p w14:paraId="6B0D7F20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أفعل التفضيل المجرد من (ال) وأحكامه.</w:t>
            </w:r>
          </w:p>
          <w:p w14:paraId="7FD2E0BD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تقديم (من) الجارة للمفضول على أفعل التفضيل.</w:t>
            </w:r>
          </w:p>
          <w:p w14:paraId="5804A513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رفع أفعل التفضيل الاسم الظاهر.</w:t>
            </w:r>
          </w:p>
          <w:p w14:paraId="453DB1D4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أسلوب النداء.</w:t>
            </w:r>
          </w:p>
          <w:p w14:paraId="6ADBE961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أدوات النداء.</w:t>
            </w:r>
          </w:p>
          <w:p w14:paraId="11952680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مراتب المنادى وما يختص به.</w:t>
            </w:r>
          </w:p>
          <w:p w14:paraId="632C9BDD" w14:textId="21F2C482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أنواع المنادى.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644DA5" w14:textId="5DECEF7C" w:rsidR="005431A9" w:rsidRPr="005431A9" w:rsidRDefault="00BD1D55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0BD097F7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E0A7E" w14:textId="4A404D31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547CF" w14:textId="5E2FA034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70A757" w14:textId="62A48E1E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431A9" w:rsidRPr="005D2DDD" w14:paraId="24C3D25E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3082B" w14:textId="27B2374A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CF2C7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-أقسام المنادي.</w:t>
            </w:r>
          </w:p>
          <w:p w14:paraId="05EA7DB6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-أحكام كل قسم.</w:t>
            </w:r>
          </w:p>
          <w:p w14:paraId="0FE55230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نداء ما فيه (ال).</w:t>
            </w:r>
          </w:p>
          <w:p w14:paraId="6B8EBAB5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أحكام تابع المنادى.</w:t>
            </w:r>
          </w:p>
          <w:p w14:paraId="5D9DA652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أحكام المنادى المضاف لياء المتكلم.</w:t>
            </w:r>
          </w:p>
          <w:p w14:paraId="14FD109F" w14:textId="040291DA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الأسماء الملازمة للنداء.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7363AD" w14:textId="562E27E6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3A6E7B9F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C2D3B" w14:textId="77777777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FF31E" w14:textId="70087E44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DEB910" w14:textId="77777777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431A9" w:rsidRPr="005D2DDD" w14:paraId="123119F5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EF95B" w14:textId="430957A9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77AC1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الترخيم: تعريفه </w:t>
            </w: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وأنواعه وأحكامه</w:t>
            </w: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058D0E97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تعريفه.</w:t>
            </w:r>
          </w:p>
          <w:p w14:paraId="10F0E5EA" w14:textId="0F756D7B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-الاستغاثة: مكوناته وأحكامه.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B0EAEC" w14:textId="51F8F079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7E785DB5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5549A" w14:textId="77777777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B5B28" w14:textId="3E7E2A05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74E4BF" w14:textId="77777777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431A9" w:rsidRPr="005D2DDD" w14:paraId="7A76119A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98079" w14:textId="13497670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A698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-الندبة: مكوناته وأحكامه.</w:t>
            </w:r>
          </w:p>
          <w:p w14:paraId="22B2CBC5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ألف الندبة.</w:t>
            </w:r>
          </w:p>
          <w:p w14:paraId="44B27281" w14:textId="40400109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الاختبار الفصلي الثاني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DFA2D2" w14:textId="7B0A3750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6B12DC55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5CC04" w14:textId="77777777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086AD" w14:textId="7C1E4B7F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AB70CB" w14:textId="77777777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431A9" w:rsidRPr="005D2DDD" w14:paraId="4610FC46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90EB2" w14:textId="40BA8665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E1335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أسلوب الاختصاص.</w:t>
            </w:r>
          </w:p>
          <w:p w14:paraId="5CF3E2DF" w14:textId="77777777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أوجه الشبه والاختلاف بين النداء والاختصاص.</w:t>
            </w:r>
          </w:p>
          <w:p w14:paraId="1353605A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- إعراب أسلوب الاختصاص</w:t>
            </w:r>
          </w:p>
          <w:p w14:paraId="20E5B59B" w14:textId="00A42049" w:rsidR="005431A9" w:rsidRPr="005431A9" w:rsidRDefault="005431A9" w:rsidP="005431A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أسلوب التحذير والإغراء.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74C75D" w14:textId="7D387C6C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3</w:t>
            </w:r>
          </w:p>
        </w:tc>
      </w:tr>
      <w:tr w:rsidR="005431A9" w:rsidRPr="005D2DDD" w14:paraId="7FD5277E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6F66B" w14:textId="77777777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14:paraId="37CC85B7" w14:textId="1A836727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2808B" w14:textId="13E02F4D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تطبيقات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7A1DC6" w14:textId="77777777" w:rsidR="005431A9" w:rsidRPr="005431A9" w:rsidRDefault="005431A9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431A9" w:rsidRPr="005D2DDD" w14:paraId="49E4AA79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156BA" w14:textId="6377F309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8A9E0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المراد بالتحذير وأنواعه وبيان حكم كل نوع، وإعرابه.</w:t>
            </w:r>
          </w:p>
          <w:p w14:paraId="3579BCCF" w14:textId="77777777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حق التحذير أن يكون للمخاطب وشذّ مجيئه للمتكلم.</w:t>
            </w:r>
          </w:p>
          <w:p w14:paraId="0B291A41" w14:textId="1A4D2126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المراد بالإغراء وأنواعه وبيان حكم كل نوع، وإعرابه.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2E0ECAE" w14:textId="65AC5909" w:rsidR="005431A9" w:rsidRPr="005431A9" w:rsidRDefault="00BD1D55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5431A9" w:rsidRPr="005D2DDD" w14:paraId="2786E403" w14:textId="77777777" w:rsidTr="005431A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68952" w14:textId="03262A65" w:rsidR="005431A9" w:rsidRDefault="005431A9" w:rsidP="005431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EF943" w14:textId="1BFD8161" w:rsidR="005431A9" w:rsidRPr="005431A9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مراجعة عامة تتضمن: نماذج تدريبية، وتطبيقات </w:t>
            </w: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محلولة،</w:t>
            </w: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وتطبيقات يُطلب من الدراسين الإجابة عنها، ونماذج من أسئلة الاختبارات </w:t>
            </w:r>
            <w:r w:rsidRPr="005431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السابقة،</w:t>
            </w: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وتدريب الدراسين على الإجابة عنها.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CD5D72" w14:textId="1FE0AB2D" w:rsidR="005431A9" w:rsidRPr="005431A9" w:rsidRDefault="00BD1D55" w:rsidP="005431A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FE3916" w:rsidRPr="005D2DDD" w14:paraId="59B12369" w14:textId="77777777" w:rsidTr="005431A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FE3916" w:rsidRPr="005D2DDD" w:rsidRDefault="00FE3916" w:rsidP="00FE391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C1D6EBD" w14:textId="140BB7BD" w:rsidR="00FE3916" w:rsidRPr="005D2DDD" w:rsidRDefault="001441EE" w:rsidP="00FE39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45 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F61F646" w14:textId="5500FA9A" w:rsidR="00AD1A5E" w:rsidRPr="005D2DDD" w:rsidRDefault="00C80002" w:rsidP="00416FE2">
      <w:pPr>
        <w:pStyle w:val="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580878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580878" w:rsidRPr="00DE07AD" w:rsidRDefault="00580878" w:rsidP="005808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3AD83BEB" w:rsidR="00580878" w:rsidRPr="00544660" w:rsidRDefault="005431A9" w:rsidP="000F31C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يبين بعض مكملات الجملة والمجرورات فيها</w:t>
            </w:r>
            <w:r w:rsidR="000F31C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1B560036" w14:textId="77777777" w:rsidR="00580878" w:rsidRDefault="00580878" w:rsidP="0058087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BB49A2B" w14:textId="1D067227" w:rsidR="00580878" w:rsidRPr="00DE07AD" w:rsidRDefault="00580878" w:rsidP="005808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580878" w:rsidRPr="0004551F" w:rsidRDefault="00580878" w:rsidP="0058087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>
              <w:rPr>
                <w:rtl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580878" w:rsidRPr="00DE07AD" w:rsidRDefault="00580878" w:rsidP="00580878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580878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580878" w:rsidRPr="00DE07AD" w:rsidRDefault="00580878" w:rsidP="005808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0C8EA7" w14:textId="77777777" w:rsidR="00580878" w:rsidRPr="00544660" w:rsidRDefault="00580878" w:rsidP="000F31C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EFE41CD" w14:textId="2E7D476C" w:rsidR="00580878" w:rsidRPr="00544660" w:rsidRDefault="00082CD6" w:rsidP="000F31C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03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شرح</w:t>
            </w:r>
            <w:r w:rsidRPr="004C03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5431A9"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حروف الجر ودلالاتها</w:t>
            </w:r>
            <w:r w:rsidRPr="004C03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580878" w:rsidRPr="0004551F" w:rsidRDefault="00580878" w:rsidP="0058087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580878" w:rsidRPr="0004551F" w:rsidRDefault="00580878" w:rsidP="0058087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580878" w:rsidRPr="00DE07AD" w:rsidRDefault="00580878" w:rsidP="005808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580878" w:rsidRPr="00DE07AD" w:rsidRDefault="00580878" w:rsidP="005808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580878" w:rsidRPr="005D2DDD" w14:paraId="549F71E9" w14:textId="77777777" w:rsidTr="00EC2C6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580878" w:rsidRPr="00DE07AD" w:rsidRDefault="00580878" w:rsidP="00580878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3D4E0E14" w:rsidR="00580878" w:rsidRPr="00544660" w:rsidRDefault="00082CD6" w:rsidP="000F31C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يصف </w:t>
            </w:r>
            <w:r w:rsidR="005431A9"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الأساليب اللغوية وصيغها وأنماطها ودلالاتها</w:t>
            </w:r>
            <w:r w:rsidR="000F31C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580878" w:rsidRPr="00DE07AD" w:rsidRDefault="00580878" w:rsidP="005808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580878" w:rsidRPr="00DE07AD" w:rsidRDefault="00580878" w:rsidP="005808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5431A9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1626853C" w:rsidR="005431A9" w:rsidRPr="00580878" w:rsidRDefault="005431A9" w:rsidP="005431A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4C037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يحلل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نوعي الإضافة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5431A9" w:rsidRPr="00DE07AD" w:rsidRDefault="005431A9" w:rsidP="005431A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5431A9" w:rsidRPr="00DE07AD" w:rsidRDefault="005431A9" w:rsidP="005431A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5431A9" w:rsidRPr="005D2DDD" w14:paraId="1AA55F8C" w14:textId="77777777" w:rsidTr="00EC2C66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60246BED" w:rsidR="005431A9" w:rsidRPr="00580878" w:rsidRDefault="00C245AF" w:rsidP="005431A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C245A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يوظف التقنية للبحث عن الوصول لأنماط الدلالات المتعددة لحروف الجر.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5431A9" w:rsidRPr="00DE07AD" w:rsidRDefault="005431A9" w:rsidP="005431A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5431A9" w:rsidRPr="00DE07AD" w:rsidRDefault="005431A9" w:rsidP="005431A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5431A9" w:rsidRPr="005D2DDD" w14:paraId="10F934E3" w14:textId="77777777" w:rsidTr="00EC2C6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5431A9" w:rsidRPr="00DE07AD" w:rsidRDefault="005431A9" w:rsidP="005431A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5CC243C8" w14:textId="3D0F247D" w:rsidR="005431A9" w:rsidRPr="00580878" w:rsidRDefault="005431A9" w:rsidP="005431A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580878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ينقد</w:t>
            </w:r>
            <w:r w:rsidRPr="005F196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31A9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الأساليب المختلفة </w:t>
            </w:r>
            <w:r w:rsidR="00C245AF" w:rsidRPr="005431A9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ودلالاتها.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5431A9" w:rsidRPr="00EB394D" w:rsidRDefault="005431A9" w:rsidP="005431A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5431A9" w:rsidRPr="00EB394D" w:rsidRDefault="005431A9" w:rsidP="005431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5431A9" w:rsidRPr="00EB394D" w:rsidRDefault="005431A9" w:rsidP="005431A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</w:t>
            </w:r>
          </w:p>
          <w:p w14:paraId="119B6187" w14:textId="3B003444" w:rsidR="005431A9" w:rsidRPr="00EB394D" w:rsidRDefault="005431A9" w:rsidP="005431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ملف الطالب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0F31C7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0F31C7" w:rsidRPr="00DE07AD" w:rsidRDefault="000F31C7" w:rsidP="000F31C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1DE307EB" w:rsidR="000F31C7" w:rsidRPr="00D35C30" w:rsidRDefault="00082CD6" w:rsidP="000F31C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يدير حوارا عن </w:t>
            </w:r>
            <w:r w:rsidR="005431A9" w:rsidRPr="005431A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أوجه الشبه والاختلاف بين النداء والاختصاص</w:t>
            </w:r>
            <w:r w:rsidR="005431A9" w:rsidRPr="005431A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4C037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أمام</w:t>
            </w:r>
            <w:r w:rsidRPr="004C03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C245AF" w:rsidRPr="004C037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زملائه.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0F31C7" w:rsidRPr="00D35C30" w:rsidRDefault="000F31C7" w:rsidP="000F31C7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0F31C7" w:rsidRPr="00D35C30" w:rsidRDefault="000F31C7" w:rsidP="000F31C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0F31C7" w:rsidRPr="00D35C30" w:rsidRDefault="000F31C7" w:rsidP="000F31C7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0F31C7" w:rsidRPr="00D35C30" w:rsidRDefault="000F31C7" w:rsidP="000F31C7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0F31C7" w:rsidRPr="00D35C30" w:rsidRDefault="000F31C7" w:rsidP="000F31C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0F31C7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0F31C7" w:rsidRPr="00DE07AD" w:rsidRDefault="000F31C7" w:rsidP="000F31C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56E3C5B0" w:rsidR="000F31C7" w:rsidRPr="00D35C30" w:rsidRDefault="000F31C7" w:rsidP="000F31C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 w:rsidR="00082CD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="005431A9" w:rsidRPr="005431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التحذير وأنواعه وبيان حكم كل نوع، وإعرابه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0F31C7" w:rsidRPr="00D35C30" w:rsidRDefault="000F31C7" w:rsidP="000F31C7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0F31C7" w:rsidRPr="00D35C30" w:rsidRDefault="000F31C7" w:rsidP="000F31C7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0F31C7" w:rsidRPr="00D35C30" w:rsidRDefault="000F31C7" w:rsidP="000F31C7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0F31C7" w:rsidRPr="00D35C30" w:rsidRDefault="000F31C7" w:rsidP="000F31C7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0F31C7" w:rsidRPr="00D35C30" w:rsidRDefault="000F31C7" w:rsidP="000F31C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0F31C7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0F31C7" w:rsidRPr="00DE07AD" w:rsidRDefault="000F31C7" w:rsidP="000F31C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3A76E064" w:rsidR="000F31C7" w:rsidRPr="0089077A" w:rsidRDefault="000F31C7" w:rsidP="0089077A">
            <w:pPr>
              <w:bidi/>
              <w:spacing w:line="276" w:lineRule="auto"/>
              <w:jc w:val="lowKashida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الطالب </w:t>
            </w:r>
            <w:r w:rsidR="005431A9" w:rsidRPr="005431A9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شروط ما يُصاغ منه أفعل التفضيل.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0F31C7" w:rsidRPr="00D35C30" w:rsidRDefault="000F31C7" w:rsidP="000F31C7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0F31C7" w:rsidRPr="00D35C30" w:rsidRDefault="000F31C7" w:rsidP="000F31C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0F31C7" w:rsidRPr="00D35C30" w:rsidRDefault="000F31C7" w:rsidP="000F31C7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0F31C7" w:rsidRPr="00D35C30" w:rsidRDefault="000F31C7" w:rsidP="000F31C7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0F31C7" w:rsidRPr="00D35C30" w:rsidRDefault="000F31C7" w:rsidP="000F31C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C245AF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140C9" w:rsidRPr="005D2DDD" w14:paraId="2A1E4DD6" w14:textId="77777777" w:rsidTr="00C245AF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8140C9" w:rsidRPr="009D1E6C" w:rsidRDefault="008140C9" w:rsidP="008140C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9D1748F" w:rsidR="008140C9" w:rsidRPr="00CE37F1" w:rsidRDefault="008140C9" w:rsidP="008140C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فصلي الأول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6603BF4B" w:rsidR="008140C9" w:rsidRPr="00CE37F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الأسبوع 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67C64647" w:rsidR="008140C9" w:rsidRPr="00CE37F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15%</w:t>
            </w:r>
          </w:p>
        </w:tc>
      </w:tr>
      <w:tr w:rsidR="008140C9" w:rsidRPr="006644BC" w14:paraId="0D4AB978" w14:textId="77777777" w:rsidTr="00C245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42F41AF7" w:rsidR="008140C9" w:rsidRPr="009D1E6C" w:rsidRDefault="008140C9" w:rsidP="008140C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091D0EEB" w:rsidR="008140C9" w:rsidRPr="00CE37F1" w:rsidRDefault="008140C9" w:rsidP="008140C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فصلي الثاني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26F2C56F" w:rsidR="008140C9" w:rsidRPr="00CE37F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الأسبوع الثاني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1F25229B" w:rsidR="008140C9" w:rsidRPr="00CE37F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15 %</w:t>
            </w:r>
          </w:p>
        </w:tc>
      </w:tr>
      <w:tr w:rsidR="008140C9" w:rsidRPr="006644BC" w14:paraId="37B06F1E" w14:textId="77777777" w:rsidTr="00C245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29BB3DE3" w:rsidR="008140C9" w:rsidRPr="009D1E6C" w:rsidRDefault="008140C9" w:rsidP="008140C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0B9E998E" w:rsidR="008140C9" w:rsidRPr="00CE37F1" w:rsidRDefault="008140C9" w:rsidP="008140C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أنشطة عملية وواجبات وتكاليف تطبيقية متنوعة واختبارات قصيرة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5D081FCC" w:rsidR="008140C9" w:rsidRPr="00CE37F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مستمر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182AA5CC" w:rsidR="008140C9" w:rsidRPr="00CE37F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20%</w:t>
            </w:r>
          </w:p>
        </w:tc>
      </w:tr>
      <w:tr w:rsidR="008140C9" w:rsidRPr="006644BC" w14:paraId="227677C9" w14:textId="77777777" w:rsidTr="00C245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0F42043C" w:rsidR="008140C9" w:rsidRPr="009D1E6C" w:rsidRDefault="008140C9" w:rsidP="008140C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75C4F167" w:rsidR="008140C9" w:rsidRPr="00CE37F1" w:rsidRDefault="008140C9" w:rsidP="008140C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بحث علمي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1F6DFCC6" w:rsidR="008140C9" w:rsidRPr="00CE37F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28E1FC5E" w:rsidR="008140C9" w:rsidRPr="00CE37F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10%</w:t>
            </w:r>
          </w:p>
        </w:tc>
      </w:tr>
      <w:tr w:rsidR="008140C9" w:rsidRPr="006644BC" w14:paraId="4A07BF62" w14:textId="77777777" w:rsidTr="00C245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DA6E43" w14:textId="72A9324F" w:rsidR="008140C9" w:rsidRPr="009D1E6C" w:rsidRDefault="008140C9" w:rsidP="008140C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C4B11F" w14:textId="65B18472" w:rsidR="008140C9" w:rsidRPr="000E0411" w:rsidRDefault="008140C9" w:rsidP="008140C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نهائي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CBAF42" w14:textId="4BFCB274" w:rsidR="008140C9" w:rsidRPr="000E041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الأسبوع السابع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20F24E8" w14:textId="77828E35" w:rsidR="008140C9" w:rsidRPr="000E0411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40%</w:t>
            </w:r>
          </w:p>
        </w:tc>
      </w:tr>
      <w:tr w:rsidR="008140C9" w:rsidRPr="006644BC" w14:paraId="0A560F9F" w14:textId="77777777" w:rsidTr="00C245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FA60FF" w14:textId="5FFBE999" w:rsidR="008140C9" w:rsidRDefault="008140C9" w:rsidP="008140C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967FF2A" w14:textId="37560B25" w:rsidR="008140C9" w:rsidRPr="00E350C4" w:rsidRDefault="008140C9" w:rsidP="008140C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فصلي الأول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5B4B0B8" w14:textId="5A83038A" w:rsidR="008140C9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الأسبوع الثامن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FEC611A" w14:textId="7C021423" w:rsidR="008140C9" w:rsidRPr="00E350C4" w:rsidRDefault="008140C9" w:rsidP="008140C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15%</w:t>
            </w:r>
          </w:p>
        </w:tc>
      </w:tr>
      <w:tr w:rsidR="00292DBE" w:rsidRPr="005D2DDD" w14:paraId="16225A89" w14:textId="77777777" w:rsidTr="00C245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75E550F7" w:rsidR="00292DBE" w:rsidRPr="009D1E6C" w:rsidRDefault="00292DBE" w:rsidP="00292DB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292DBE" w:rsidRPr="00DE07AD" w:rsidRDefault="00292DBE" w:rsidP="00292DB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292DBE" w:rsidRPr="00DE07AD" w:rsidRDefault="00292DBE" w:rsidP="0058087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292DBE" w:rsidRPr="00DE07AD" w:rsidRDefault="00292DBE" w:rsidP="005808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2" w:name="_Toc526247388"/>
      <w:bookmarkStart w:id="23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50079722" w14:textId="77777777" w:rsidR="008140C9" w:rsidRPr="008140C9" w:rsidRDefault="008140C9" w:rsidP="008140C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يخصص الأستاذ أربع ساعات مكتبية في الأسبوع لاستقبال الدراسين وإرشادهم</w:t>
            </w: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E3DCF5D" w14:textId="77777777" w:rsidR="008140C9" w:rsidRPr="008140C9" w:rsidRDefault="008140C9" w:rsidP="008140C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- </w:t>
            </w: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يقدم الأستاذ للدارس في بداية كل فصل نموذجًا لمفردات المقرر، يحوي عناوين التواصل الإلكترونية والساعات المكتبية للأستاذ، ووصفًا مختصرًا للمقرر ومفرداته وطريقة تدريسه ووسائل التقييم</w:t>
            </w: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3448FEB9" w14:textId="77777777" w:rsidR="008140C9" w:rsidRPr="008140C9" w:rsidRDefault="008140C9" w:rsidP="008140C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- </w:t>
            </w: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ينشئ أستاذ المقرر منتديات ومدونات للنقاش والإرشاد والتواصل العلمي المستمر من خلال موقع البلاك بورد</w:t>
            </w: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. </w:t>
            </w:r>
          </w:p>
          <w:p w14:paraId="53013C77" w14:textId="6F60D42C" w:rsidR="00013764" w:rsidRPr="005D2DDD" w:rsidRDefault="008140C9" w:rsidP="008140C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 يُخصص لكل دارس مرشد أكاديمي يمكن للدارس التواصل معه طوال الفصل الدراسي من خلال الساعات المكتبية للمرشد، أو بريده الإلكتروني.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3B305229" w14:textId="77777777" w:rsidR="008140C9" w:rsidRPr="005438CD" w:rsidRDefault="008140C9" w:rsidP="008140C9">
            <w:pPr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شرح ابن عقيل على ألفية ابن مالك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ومعه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منحة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الجليل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بتحقيق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شرح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ابن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5438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عقيل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لمحمد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محيي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الدين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5438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عبد الحمي</w:t>
            </w:r>
            <w:r w:rsidRPr="005438CD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6E7A55AA" w14:textId="47CCC1D7" w:rsidR="005612EC" w:rsidRPr="000833A3" w:rsidRDefault="008140C9" w:rsidP="008140C9">
            <w:pPr>
              <w:numPr>
                <w:ilvl w:val="0"/>
                <w:numId w:val="15"/>
              </w:numPr>
              <w:bidi/>
              <w:contextualSpacing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 الدروس العربية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438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المؤلف:</w:t>
            </w:r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مصطفى </w:t>
            </w:r>
            <w:proofErr w:type="spellStart"/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الغلاييني</w:t>
            </w:r>
            <w:proofErr w:type="spellEnd"/>
            <w:r w:rsidRPr="005438CD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A1893B2" w14:textId="77777777" w:rsidR="008140C9" w:rsidRPr="008140C9" w:rsidRDefault="008140C9" w:rsidP="008140C9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شرح المفصل لابن يعيش</w:t>
            </w:r>
          </w:p>
          <w:p w14:paraId="2BE6FA3E" w14:textId="77777777" w:rsidR="008140C9" w:rsidRPr="008140C9" w:rsidRDefault="008140C9" w:rsidP="008140C9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النحوي، المؤلف: عبده الراجحي.</w:t>
            </w:r>
          </w:p>
          <w:p w14:paraId="571AE98C" w14:textId="77777777" w:rsidR="008140C9" w:rsidRPr="008140C9" w:rsidRDefault="008140C9" w:rsidP="008140C9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المصفى، المؤلف: محمد عيد.</w:t>
            </w:r>
          </w:p>
          <w:p w14:paraId="3E7E9592" w14:textId="77777777" w:rsidR="008140C9" w:rsidRPr="008140C9" w:rsidRDefault="008140C9" w:rsidP="008140C9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الوافي، المؤلف: عباس حسن</w:t>
            </w:r>
          </w:p>
          <w:p w14:paraId="193CE998" w14:textId="77777777" w:rsidR="008140C9" w:rsidRPr="008140C9" w:rsidRDefault="008140C9" w:rsidP="008140C9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معجم قواعد اللغة العربية في جداول ولوحات، المؤلف: أنطوان الدحداح</w:t>
            </w:r>
          </w:p>
          <w:p w14:paraId="4C17B5E9" w14:textId="50DA20BE" w:rsidR="000833A3" w:rsidRPr="000833A3" w:rsidRDefault="008140C9" w:rsidP="008140C9">
            <w:pPr>
              <w:numPr>
                <w:ilvl w:val="0"/>
                <w:numId w:val="13"/>
              </w:numPr>
              <w:bidi/>
              <w:contextualSpacing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الأساليب النحوية: عرض وتطبيق، المؤلف: محسن علي عطية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30ACBFAF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3. المواد الإلكترونية ومواقع الإنترنت ومواقع التواصل الاجتماعي وغيرها:</w:t>
            </w:r>
          </w:p>
          <w:p w14:paraId="6E427690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-  موقع جامع الدروس العلمية</w:t>
            </w:r>
          </w:p>
          <w:p w14:paraId="06CB51ED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</w:rPr>
              <w:t>https://dro-s.com/tag/%D9%86%D8%AD%D9%88</w:t>
            </w: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/</w:t>
            </w:r>
          </w:p>
          <w:p w14:paraId="41129BE2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المكتبة الوقفية (النحو والصرف)</w:t>
            </w:r>
          </w:p>
          <w:p w14:paraId="01F2FC15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</w:rPr>
              <w:t>http://waqfeya.com/category.php?cid=22</w:t>
            </w:r>
          </w:p>
          <w:p w14:paraId="61BD4FF9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موقع المكتبة الشاملة</w:t>
            </w:r>
          </w:p>
          <w:p w14:paraId="36B1F2F4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</w:rPr>
              <w:t>http://shamela.ws/index.php/category/151</w:t>
            </w:r>
          </w:p>
          <w:p w14:paraId="63C24FE8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مكتبة لسان العرب (النحو والصرف)</w:t>
            </w:r>
          </w:p>
          <w:p w14:paraId="30806C3F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</w:rPr>
              <w:t>http://lisaanularab.blogspot.com/search/label/%D9%86%D8%AD%D9%88</w:t>
            </w:r>
          </w:p>
          <w:p w14:paraId="49C5751E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موقع الأستاذ عبد الفتاح أمير عباس أبو زيد</w:t>
            </w:r>
          </w:p>
          <w:p w14:paraId="372ADDA2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</w:rPr>
              <w:t>http://kenanaonline.com/users/amer123123/posts/509674</w:t>
            </w:r>
          </w:p>
          <w:p w14:paraId="0285729C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مكتبة الإسكندرية (اللغويات)</w:t>
            </w:r>
          </w:p>
          <w:p w14:paraId="548A8D95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</w:rPr>
              <w:t>http://bib-alex.com/language.php</w:t>
            </w:r>
          </w:p>
          <w:p w14:paraId="62666ED6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موقع محمد سعيد الغامدي (النحو والصرف)</w:t>
            </w:r>
          </w:p>
          <w:p w14:paraId="0EB6F331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</w:rPr>
              <w:t>http://www.mohamedrabeea.com/viewfiles.aspx?pageid=6</w:t>
            </w:r>
          </w:p>
          <w:p w14:paraId="1B9C6469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- شبكة الفصيح (النحو والصرف)</w:t>
            </w:r>
          </w:p>
          <w:p w14:paraId="59C4E02B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</w:rPr>
              <w:t>http://www.alfaseeh.com/vb/showthread.php?t=24725</w:t>
            </w:r>
          </w:p>
          <w:p w14:paraId="70D8AB28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موقع المفتي اللغوي (تويتر)</w:t>
            </w:r>
          </w:p>
          <w:p w14:paraId="432B200E" w14:textId="77777777" w:rsidR="008140C9" w:rsidRPr="008140C9" w:rsidRDefault="008140C9" w:rsidP="008140C9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</w:rPr>
              <w:t>https://twitter.com/sboh3333</w:t>
            </w:r>
          </w:p>
          <w:p w14:paraId="1822ED46" w14:textId="0579E758" w:rsidR="005612EC" w:rsidRPr="000833A3" w:rsidRDefault="005612EC" w:rsidP="008140C9">
            <w:pPr>
              <w:pStyle w:val="af"/>
              <w:bidi/>
              <w:jc w:val="right"/>
              <w:rPr>
                <w:rFonts w:ascii="Traditional Arabic" w:hAnsi="Traditional Arabic" w:cs="Traditional Arabic"/>
                <w:color w:val="0000FF"/>
                <w:u w:val="single"/>
              </w:rPr>
            </w:pP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E842029" w14:textId="77777777" w:rsidR="00234D3F" w:rsidRPr="00234D3F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•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((CD 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الشاملة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BA3EB9E" w14:textId="1DD2863C" w:rsidR="005612EC" w:rsidRPr="009316C2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أقراص ممغنطة ( (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النحوية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292DBE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292DBE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(</w:t>
            </w:r>
            <w:r w:rsidR="00C36A18" w:rsidRPr="00292DB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292DB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2CE8F0" w14:textId="77777777" w:rsidR="008140C9" w:rsidRPr="008140C9" w:rsidRDefault="008140C9" w:rsidP="008140C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المباني (قاعات المحاضرات، والمختبرات، وقاعات العرض، والمعامل، وغيرها)</w:t>
            </w: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:</w:t>
            </w:r>
          </w:p>
          <w:p w14:paraId="0AF10E8A" w14:textId="77777777" w:rsidR="008140C9" w:rsidRPr="008140C9" w:rsidRDefault="008140C9" w:rsidP="008140C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lastRenderedPageBreak/>
              <w:t xml:space="preserve">- </w:t>
            </w: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قاعة تتسع لثلاثين دارسًا</w:t>
            </w:r>
          </w:p>
          <w:p w14:paraId="08FB7875" w14:textId="5CC78552" w:rsidR="00DE3C6D" w:rsidRPr="009316C2" w:rsidRDefault="008140C9" w:rsidP="008140C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 سبورة تفاعلية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292DBE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التجهيزات</w:t>
            </w:r>
            <w:r w:rsidR="003C307F"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292DBE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08439E" w14:textId="77777777" w:rsidR="00DE3C6D" w:rsidRDefault="003575F1" w:rsidP="00416FE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معمل الحاسب الآلي يجب ألا تقل سعته عن25 مقعدًا وينبغي توفير مالا يقل عن 4 معامل في القسم مزودة بأقراص مضغوطة.</w:t>
            </w:r>
            <w:r w:rsidR="00F07B5D"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  <w:p w14:paraId="5C5866C4" w14:textId="7C1701C0" w:rsidR="00EA5796" w:rsidRPr="009316C2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732934">
              <w:rPr>
                <w:rFonts w:ascii="Traditional Arabic" w:hAnsi="Traditional Arabic" w:cs="Traditional Arabic"/>
                <w:b/>
                <w:bCs/>
                <w:rtl/>
              </w:rPr>
              <w:t>السبورة الذكية.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292DBE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292DB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292DBE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292DB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348594" w14:textId="77777777" w:rsidR="008140C9" w:rsidRPr="008140C9" w:rsidRDefault="008140C9" w:rsidP="008140C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شبكة إنترنت</w:t>
            </w:r>
            <w:r w:rsidRPr="008140C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32C48B2" w14:textId="26F534F1" w:rsidR="00EA5796" w:rsidRPr="009316C2" w:rsidRDefault="008140C9" w:rsidP="008140C9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140C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  السبورة الذكية.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9" w:name="_Toc526247391"/>
      <w:bookmarkStart w:id="30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2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99C7F" w14:textId="77777777" w:rsidR="00A94970" w:rsidRDefault="00A94970">
      <w:r>
        <w:separator/>
      </w:r>
    </w:p>
  </w:endnote>
  <w:endnote w:type="continuationSeparator" w:id="0">
    <w:p w14:paraId="0F42435D" w14:textId="77777777" w:rsidR="00A94970" w:rsidRDefault="00A9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Courier New"/>
    <w:charset w:val="00"/>
    <w:family w:val="auto"/>
    <w:pitch w:val="variable"/>
    <w:sig w:usb0="00000000" w:usb1="80002043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C245AF" w:rsidRDefault="00C245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C245AF" w:rsidRDefault="00C245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C245AF" w:rsidRPr="000B5619" w:rsidRDefault="00C245AF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C245AF" w:rsidRPr="00705C7E" w:rsidRDefault="00C245AF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D26EA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C245AF" w:rsidRPr="00705C7E" w:rsidRDefault="00C245AF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5D26EA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0473" w14:textId="77777777" w:rsidR="00A94970" w:rsidRDefault="00A94970">
      <w:r>
        <w:separator/>
      </w:r>
    </w:p>
  </w:footnote>
  <w:footnote w:type="continuationSeparator" w:id="0">
    <w:p w14:paraId="6C196C6B" w14:textId="77777777" w:rsidR="00A94970" w:rsidRDefault="00A9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4B42B222" w:rsidR="00C245AF" w:rsidRPr="00A006BB" w:rsidRDefault="00C245AF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2CB0"/>
    <w:multiLevelType w:val="hybridMultilevel"/>
    <w:tmpl w:val="8AB85F8E"/>
    <w:lvl w:ilvl="0" w:tplc="A3D0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D0D17"/>
    <w:multiLevelType w:val="hybridMultilevel"/>
    <w:tmpl w:val="9BA801F6"/>
    <w:lvl w:ilvl="0" w:tplc="F12250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F04"/>
    <w:multiLevelType w:val="hybridMultilevel"/>
    <w:tmpl w:val="78700774"/>
    <w:lvl w:ilvl="0" w:tplc="51688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C2605"/>
    <w:multiLevelType w:val="hybridMultilevel"/>
    <w:tmpl w:val="72C0D0C6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465E4"/>
    <w:multiLevelType w:val="hybridMultilevel"/>
    <w:tmpl w:val="40264CFC"/>
    <w:lvl w:ilvl="0" w:tplc="EC003C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1B1058"/>
    <w:multiLevelType w:val="hybridMultilevel"/>
    <w:tmpl w:val="3994638C"/>
    <w:lvl w:ilvl="0" w:tplc="496ADC96">
      <w:numFmt w:val="bullet"/>
      <w:lvlText w:val="-"/>
      <w:lvlJc w:val="left"/>
      <w:pPr>
        <w:ind w:left="630" w:hanging="360"/>
      </w:pPr>
      <w:rPr>
        <w:rFonts w:ascii="Sakkal Majalla" w:eastAsia="Calibri" w:hAnsi="Sakkal Majalla" w:cs="Sakkal Majall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5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16"/>
  </w:num>
  <w:num w:numId="12">
    <w:abstractNumId w:val="7"/>
  </w:num>
  <w:num w:numId="13">
    <w:abstractNumId w:val="9"/>
  </w:num>
  <w:num w:numId="14">
    <w:abstractNumId w:val="8"/>
  </w:num>
  <w:num w:numId="15">
    <w:abstractNumId w:val="11"/>
  </w:num>
  <w:num w:numId="16">
    <w:abstractNumId w:val="12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4BB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2CD6"/>
    <w:rsid w:val="000833A3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050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1C7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1EE"/>
    <w:rsid w:val="00144E33"/>
    <w:rsid w:val="00145AE6"/>
    <w:rsid w:val="00147FC8"/>
    <w:rsid w:val="001500F4"/>
    <w:rsid w:val="00151990"/>
    <w:rsid w:val="001525CE"/>
    <w:rsid w:val="001549C5"/>
    <w:rsid w:val="0015568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07D7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D3F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3FD1"/>
    <w:rsid w:val="002843CF"/>
    <w:rsid w:val="0029083A"/>
    <w:rsid w:val="00290CF6"/>
    <w:rsid w:val="00291B93"/>
    <w:rsid w:val="0029258E"/>
    <w:rsid w:val="00292AE4"/>
    <w:rsid w:val="00292DBE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4DB3"/>
    <w:rsid w:val="002E0657"/>
    <w:rsid w:val="002E0700"/>
    <w:rsid w:val="002E0C8B"/>
    <w:rsid w:val="002E1B76"/>
    <w:rsid w:val="002E3EE3"/>
    <w:rsid w:val="002E6F82"/>
    <w:rsid w:val="002F0009"/>
    <w:rsid w:val="002F2B16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4703"/>
    <w:rsid w:val="00346495"/>
    <w:rsid w:val="00354220"/>
    <w:rsid w:val="003558E8"/>
    <w:rsid w:val="00355D1A"/>
    <w:rsid w:val="003563D5"/>
    <w:rsid w:val="003575F1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3D54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5BC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0D17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8F2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66E2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256E8"/>
    <w:rsid w:val="00532C7D"/>
    <w:rsid w:val="005339AF"/>
    <w:rsid w:val="005364B9"/>
    <w:rsid w:val="005375C9"/>
    <w:rsid w:val="00540380"/>
    <w:rsid w:val="00541516"/>
    <w:rsid w:val="00542C1F"/>
    <w:rsid w:val="00542CCF"/>
    <w:rsid w:val="005431A9"/>
    <w:rsid w:val="00544660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0878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6EA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961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17C2"/>
    <w:rsid w:val="00663EDA"/>
    <w:rsid w:val="006644BC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8D7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4E3E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E5C1B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29EA"/>
    <w:rsid w:val="00813B44"/>
    <w:rsid w:val="008140C9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86530"/>
    <w:rsid w:val="0089077A"/>
    <w:rsid w:val="00891BE4"/>
    <w:rsid w:val="00891F3B"/>
    <w:rsid w:val="00893A82"/>
    <w:rsid w:val="008A05FD"/>
    <w:rsid w:val="008A10EC"/>
    <w:rsid w:val="008A1333"/>
    <w:rsid w:val="008A1CF2"/>
    <w:rsid w:val="008A200D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5DE5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284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435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72C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698"/>
    <w:rsid w:val="00A94862"/>
    <w:rsid w:val="00A94970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7DA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1D55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5366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45AF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03BB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8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37F1"/>
    <w:rsid w:val="00CE5D3C"/>
    <w:rsid w:val="00CE6756"/>
    <w:rsid w:val="00CE687B"/>
    <w:rsid w:val="00CF0220"/>
    <w:rsid w:val="00CF0785"/>
    <w:rsid w:val="00CF2676"/>
    <w:rsid w:val="00CF632A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36D8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6C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17BA4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5796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66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5B21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3AD9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66A"/>
    <w:rsid w:val="00F43012"/>
    <w:rsid w:val="00F51D1F"/>
    <w:rsid w:val="00F53730"/>
    <w:rsid w:val="00F551BB"/>
    <w:rsid w:val="00F55286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3916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 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D8B88-55F4-4751-B541-0103DC2C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10</Pages>
  <Words>1687</Words>
  <Characters>9619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11284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Ibrahim Aboush</cp:lastModifiedBy>
  <cp:revision>50</cp:revision>
  <cp:lastPrinted>2020-04-23T14:46:00Z</cp:lastPrinted>
  <dcterms:created xsi:type="dcterms:W3CDTF">2020-10-31T09:35:00Z</dcterms:created>
  <dcterms:modified xsi:type="dcterms:W3CDTF">2021-08-02T07:47:00Z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